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rFonts w:ascii="Titillium" w:hAnsi="Titillium"/>
          <w:sz w:val="24"/>
          <w:szCs w:val="24"/>
        </w:rPr>
        <w:t xml:space="preserve">Scheda di sintesi </w:t>
      </w:r>
    </w:p>
    <w:p>
      <w:pPr>
        <w:pStyle w:val="ListParagraph"/>
        <w:ind w:left="0" w:hanging="0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4"/>
          <w:szCs w:val="24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4"/>
          <w:szCs w:val="24"/>
        </w:rPr>
        <w:t>Data di svolgimento della rilevazione</w:t>
      </w:r>
    </w:p>
    <w:p>
      <w:pPr>
        <w:pStyle w:val="ListParagraph"/>
        <w:spacing w:lineRule="auto" w:line="276" w:before="0" w:after="0"/>
        <w:ind w:left="0" w:hanging="0"/>
        <w:rPr/>
      </w:pPr>
      <w:r>
        <w:rPr>
          <w:rFonts w:eastAsia="Times New Roman" w:cs="Cambria" w:ascii="Titillium" w:hAnsi="Titillium"/>
          <w:color w:val="auto"/>
          <w:kern w:val="0"/>
          <w:sz w:val="24"/>
          <w:szCs w:val="24"/>
          <w:lang w:val="it-IT" w:eastAsia="ar-SA" w:bidi="ar-SA"/>
        </w:rPr>
        <w:t xml:space="preserve">La rilevazione è stata effettuata dal 01/06/2021 al </w:t>
      </w:r>
      <w:r>
        <w:rPr>
          <w:rFonts w:eastAsia="Times New Roman" w:cs="Cambria" w:ascii="Titillium" w:hAnsi="Titillium"/>
          <w:color w:val="auto"/>
          <w:kern w:val="0"/>
          <w:sz w:val="24"/>
          <w:szCs w:val="24"/>
          <w:lang w:val="it-IT" w:eastAsia="ar-SA" w:bidi="ar-SA"/>
        </w:rPr>
        <w:t>21</w:t>
      </w:r>
      <w:r>
        <w:rPr>
          <w:rFonts w:eastAsia="Times New Roman" w:cs="Cambria" w:ascii="Titillium" w:hAnsi="Titillium"/>
          <w:color w:val="auto"/>
          <w:kern w:val="0"/>
          <w:sz w:val="24"/>
          <w:szCs w:val="24"/>
          <w:lang w:val="it-IT" w:eastAsia="ar-SA" w:bidi="ar-SA"/>
        </w:rPr>
        <w:t>/06/2021.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b/>
          <w:b/>
          <w:i/>
          <w:i/>
        </w:rPr>
      </w:pPr>
      <w:r>
        <w:rPr>
          <w:rFonts w:ascii="Titillium" w:hAnsi="Titillium"/>
          <w:b/>
          <w:i/>
        </w:rPr>
      </w:r>
    </w:p>
    <w:p>
      <w:pPr>
        <w:pStyle w:val="ListParagraph"/>
        <w:spacing w:lineRule="auto" w:line="360"/>
        <w:ind w:left="0" w:hanging="0"/>
        <w:rPr>
          <w:sz w:val="24"/>
          <w:szCs w:val="24"/>
        </w:rPr>
      </w:pPr>
      <w:r>
        <w:rPr>
          <w:rFonts w:ascii="Titillium" w:hAnsi="Titillium"/>
          <w:b/>
          <w:i/>
          <w:sz w:val="24"/>
          <w:szCs w:val="24"/>
        </w:rPr>
        <w:t xml:space="preserve">Procedure e modalità seguite per la rilevazione 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>La rilevazione si riferisce a tutti gli uffici della Giunta regionale.</w:t>
      </w:r>
    </w:p>
    <w:p>
      <w:pPr>
        <w:pStyle w:val="ListParagraph"/>
        <w:spacing w:lineRule="auto" w:line="360"/>
        <w:ind w:left="0" w:hanging="0"/>
        <w:rPr/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>Il Responsabile della prevenzione della corruzione e della trasparenza della Giunta regionale della Regione Toscana (RPCT), nelle more di ricostituzione dell’OIV, ha effettuato la verifica sulla pubblicazione, sull’aggiornamento, sulla completezza e sull’apertura del formato di ciascun dato ed informazione elencati nella griglia di rilevazione al 31 maggio 2021.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 xml:space="preserve">Il RPCT ha svolto gli accertamenti 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>- tenendo conto dei risultati e degli elementi emersi dalla propria attività di controllo ai sensi dell'articolo 43, comma 1, del D.Lgs. n. 33/2013,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>- esaminando la documentazione e le banche dati relative ai dati oggetto di attestazione;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ar-SA" w:bidi="ar-SA"/>
        </w:rPr>
        <w:t>-  tramite</w:t>
      </w:r>
      <w:r>
        <w:rPr>
          <w:rFonts w:eastAsia="Times New Roman" w:cs="Cambria" w:ascii="Titillium" w:hAnsi="Titillium"/>
          <w:b/>
          <w:i/>
          <w:color w:val="auto"/>
          <w:kern w:val="0"/>
          <w:sz w:val="24"/>
          <w:szCs w:val="24"/>
          <w:lang w:val="it-IT" w:eastAsia="ar-SA" w:bidi="ar-SA"/>
        </w:rPr>
        <w:t xml:space="preserve"> </w:t>
      </w:r>
      <w:r>
        <w:rPr>
          <w:rFonts w:eastAsia="Times New Roman" w:cs="Cambria" w:ascii="Titillium" w:hAnsi="Titillium"/>
          <w:color w:val="auto"/>
          <w:kern w:val="0"/>
          <w:sz w:val="24"/>
          <w:szCs w:val="24"/>
          <w:lang w:val="it-IT" w:eastAsia="ar-SA" w:bidi="ar-SA"/>
        </w:rPr>
        <w:t>colloqui con i responsabili della trasmissione dei dati;</w:t>
      </w:r>
    </w:p>
    <w:p>
      <w:pPr>
        <w:pStyle w:val="ListParagraph"/>
        <w:spacing w:lineRule="auto" w:line="360"/>
        <w:ind w:left="0" w:hanging="0"/>
        <w:rPr>
          <w:rFonts w:ascii="Titillium" w:hAnsi="Titillium" w:eastAsia="Times New Roman" w:cs="Cambria"/>
          <w:color w:val="auto"/>
          <w:kern w:val="0"/>
          <w:sz w:val="24"/>
          <w:szCs w:val="24"/>
          <w:lang w:val="it-IT" w:eastAsia="ar-SA" w:bidi="ar-SA"/>
        </w:rPr>
      </w:pPr>
      <w:r>
        <w:rPr>
          <w:rFonts w:eastAsia="Times New Roman" w:cs="Cambria" w:ascii="Titillium" w:hAnsi="Titillium"/>
          <w:color w:val="auto"/>
          <w:kern w:val="0"/>
          <w:sz w:val="24"/>
          <w:szCs w:val="24"/>
          <w:lang w:val="it-IT" w:eastAsia="ar-SA" w:bidi="ar-SA"/>
        </w:rPr>
        <w:t>- tramite verifica diretta sul sito istituzionale, anche attraverso l’utilizzo di supporti informatici.</w:t>
      </w:r>
    </w:p>
    <w:p>
      <w:pPr>
        <w:pStyle w:val="Normal"/>
        <w:spacing w:lineRule="auto" w:line="360"/>
        <w:rPr>
          <w:rFonts w:ascii="Titillium" w:hAnsi="Titillium" w:eastAsia="Times New Roman" w:cs="Cambria"/>
          <w:color w:val="auto"/>
          <w:kern w:val="0"/>
          <w:sz w:val="24"/>
          <w:szCs w:val="24"/>
          <w:u w:val="single"/>
          <w:lang w:val="it-IT" w:eastAsia="ar-SA" w:bidi="ar-SA"/>
        </w:rPr>
      </w:pPr>
      <w:r>
        <w:rPr>
          <w:rFonts w:eastAsia="Times New Roman" w:cs="Cambria" w:ascii="Titillium" w:hAnsi="Titillium"/>
          <w:color w:val="auto"/>
          <w:kern w:val="0"/>
          <w:sz w:val="24"/>
          <w:szCs w:val="24"/>
          <w:u w:val="single"/>
          <w:lang w:val="it-IT" w:eastAsia="ar-SA" w:bidi="ar-SA"/>
        </w:rPr>
      </w:r>
    </w:p>
    <w:p>
      <w:pPr>
        <w:pStyle w:val="Normal"/>
        <w:spacing w:lineRule="auto" w:line="360" w:before="0" w:after="12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LibreOffice/6.4.7.2$Windows_X86_64 LibreOffice_project/639b8ac485750d5696d7590a72ef1b496725cfb5</Application>
  <Pages>1</Pages>
  <Words>150</Words>
  <Characters>899</Characters>
  <CharactersWithSpaces>1043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2021-06-21T12:55:59Z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