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AC" w:rsidRPr="002541E4" w:rsidRDefault="003C75AC" w:rsidP="003C75AC">
      <w:pPr>
        <w:spacing w:after="0" w:line="360" w:lineRule="auto"/>
        <w:jc w:val="center"/>
        <w:rPr>
          <w:rFonts w:ascii="Times New Roman" w:hAnsi="Times New Roman"/>
          <w:b/>
          <w:i/>
          <w:color w:val="auto"/>
          <w:sz w:val="24"/>
          <w:szCs w:val="24"/>
        </w:rPr>
      </w:pPr>
      <w:r w:rsidRPr="002541E4">
        <w:rPr>
          <w:rFonts w:ascii="Times New Roman" w:hAnsi="Times New Roman"/>
          <w:b/>
          <w:i/>
          <w:color w:val="auto"/>
          <w:sz w:val="24"/>
          <w:szCs w:val="24"/>
        </w:rPr>
        <w:t>Il Garante dell’Informazione e Partecipazi</w:t>
      </w:r>
      <w:r>
        <w:rPr>
          <w:rFonts w:ascii="Times New Roman" w:hAnsi="Times New Roman"/>
          <w:b/>
          <w:i/>
          <w:color w:val="auto"/>
          <w:sz w:val="24"/>
          <w:szCs w:val="24"/>
        </w:rPr>
        <w:t>one ai sensi della l.r. 65/2014</w:t>
      </w:r>
    </w:p>
    <w:p w:rsidR="003C75AC" w:rsidRDefault="003C75AC" w:rsidP="003C75AC">
      <w:pPr>
        <w:spacing w:after="240"/>
        <w:ind w:firstLine="709"/>
        <w:jc w:val="both"/>
        <w:rPr>
          <w:rFonts w:ascii="Times New Roman" w:hAnsi="Times New Roman"/>
          <w:color w:val="auto"/>
          <w:sz w:val="24"/>
          <w:szCs w:val="24"/>
        </w:rPr>
      </w:pPr>
      <w:r w:rsidRPr="00064915">
        <w:rPr>
          <w:rFonts w:ascii="Times New Roman" w:hAnsi="Times New Roman"/>
          <w:color w:val="auto"/>
          <w:sz w:val="24"/>
          <w:szCs w:val="24"/>
        </w:rPr>
        <w:t>Il Piano integrato del Parco Regionale della Maremma è atto di governo del territorio approvato dalla Regione.</w:t>
      </w:r>
      <w:r>
        <w:rPr>
          <w:rFonts w:ascii="Times New Roman" w:hAnsi="Times New Roman"/>
          <w:color w:val="auto"/>
          <w:sz w:val="24"/>
          <w:szCs w:val="24"/>
        </w:rPr>
        <w:t xml:space="preserve"> </w:t>
      </w:r>
      <w:r w:rsidRPr="00064915">
        <w:rPr>
          <w:rFonts w:ascii="Times New Roman" w:hAnsi="Times New Roman"/>
          <w:color w:val="auto"/>
          <w:sz w:val="24"/>
          <w:szCs w:val="24"/>
        </w:rPr>
        <w:t>Ne consegue, stante la suddetta competenza regionale, che il garante della informazione e partecipazione di cui all’art. 36 della l.r. 65 è individuato anche ai fini del presente piano nella figura del Garante regionale dell’informazione e partecipazione di cui all’art. 39 della l.r. 65/2014, già nominato con DPGR n. 83 del 18.5.2016 nella persona dell’Avv. Francesca De Santis.</w:t>
      </w:r>
    </w:p>
    <w:p w:rsidR="003C75AC" w:rsidRPr="002541E4" w:rsidRDefault="003C75AC" w:rsidP="003C75AC">
      <w:pPr>
        <w:spacing w:after="0"/>
        <w:jc w:val="center"/>
        <w:rPr>
          <w:rFonts w:ascii="Times New Roman" w:hAnsi="Times New Roman"/>
          <w:b/>
          <w:i/>
          <w:color w:val="auto"/>
          <w:sz w:val="24"/>
          <w:szCs w:val="24"/>
        </w:rPr>
      </w:pPr>
      <w:r w:rsidRPr="002541E4">
        <w:rPr>
          <w:rFonts w:ascii="Times New Roman" w:hAnsi="Times New Roman"/>
          <w:b/>
          <w:i/>
          <w:color w:val="auto"/>
          <w:sz w:val="24"/>
          <w:szCs w:val="24"/>
        </w:rPr>
        <w:t>Programma delle attività di Informazione e Partecipazione ai sensi della l.r. 65/2014</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Sulla pagina web del Garante regionale sul sito della Regione Toscana viene pubblicata una pagina dedicata al percorso partecipativo del presente piano.</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La pagina contiene l’indirizzo di posta elettronica del Garante regionale, una sezione informazione nella quale saranno pubblicati il programma delle attività di informazione e partecipazione, i documenti di piano e il rapporto del garante.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Nella sezione partecipazione verrà pubblicato il documento di sintesi “non tecnica” dei contenuti del piano integrato per il parco, come definiti al momento dell’avvio del procedimento, quale documento di introduzione al processo partecipativo, diretto a garantire una maggiore accessibilità e comprensibilità del piano a tutti i cittadini. Tale sintesi non tecnica sarà elaborata dal Rup e resa disponibile nella pagina web del garante.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Nella sezione partecipazione verranno pubblicizzate tutte le attività partecipative in itinere sotto indicate.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Successivamente alla pubblicazione dell’atto di avvio, sarà realizzata una forma di partecipazione digitale, come previsto dall’art. 3 lettera c) delle Linee guida sui livelli partecipativi, in quanto idonea a raggiungere chiunque abbia interesse a partecipare, tramite l’attivazione per 60 giorni sulla pagina web del Garante di un form da compilare da parte dell’interessato nel quale inserire i propri dati e il contributo partecipativo, con la facoltà di georeferenziare il sito in relazione al quale si intende offrire il proprio contributo tramite il link a geoscopio attivato sullo stesso form. Il Garante, all’esito di tale partecipazione digitale, procederà ad esaminare da un punto di vista oggettivo e soggettivo i contributi pervenuti, potendo altresì organizzare incontri pubblici o workshop su specifiche tematiche e argomenti emersi dalla consultazione informatica, coinvolgendo anche la parte politica e la parte tecnica del Parco e della Regione, anteriormente all’adozione.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 xml:space="preserve">Successivamente alla suddetta forma di partecipazione digitale, verranno quindi organizzati tre incontri pubblici: uno rivolto ai soggetti portatori di interessi ambientali, uno rivolto ai soggetti portatori di interessi economici e uno aperto alla collettività e in particolare ai Comuni e agli ordini professionali. </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Considerato che le previsioni del piano integrato per il parco sostituiscono i piani territoriali o urbanistici di qualsiasi livello, purchè nel rispetto del piano paesaggistico regionale, sarà organizzato un incontro pubblico, quale livello partecipativo uniforme di cui all’art. 4 delle Linee guida di cui alla DGR 1112/2017, avente ad oggetto esclusivamente lo “statuto del territorio”, e un incontro pubblico, quale livello partecipativo uniforme di cui all’art. 5 delle Linee guida di cui alla DGR 1112/2017, avente ad oggetto esclusivamente le “trasformazioni urbanistiche ritenute più rilevanti”.</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Per quanto riguarda la partecipazione digitale e gli aspetti informatici il garante si avvale della struttura regionale.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Gli incontri pubblici dovranno svolgersi all’interno del Parco e per tale ragione la loro organizzazione avverrà con l’ausilio dell’Ente Parco.</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lastRenderedPageBreak/>
        <w:t>Ai sensi della normativa sopra citata, il garante dell’informazione e della partecipazione è responsabile dell’attuazione del presente programma, nel rispetto dei livelli prestazionali, fissati nel regolamento, e dei livelli partecipativi uniformi fissati nelle Linee guida.</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All’esito delle attività svolte tra l’avvio del procedimento e l’adozione del piano, il garante redige il rapporto di cui all’articolo 38, comma 2 della l.r. 65/2014 dando atto non solo dell’attuazione del presente programma ma anche degli esiti e risultati della partecipazione, valendo i contributi partecipativi quale proposta di contenuto di piano sulla quale l’Amministrazione deve decidere motivando adeguatamente ai sensi della LR 65.</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Pertanto, il rapporto è trasmesso al RUP prima della adozione affinché l’Amministrazione decida motivando adeguatamente già in sede di adozione</w:t>
      </w:r>
    </w:p>
    <w:p w:rsidR="003C75AC" w:rsidRPr="00064915" w:rsidRDefault="003C75AC" w:rsidP="003C75AC">
      <w:pPr>
        <w:spacing w:after="0"/>
        <w:ind w:firstLine="709"/>
        <w:jc w:val="both"/>
        <w:rPr>
          <w:rFonts w:ascii="Times New Roman" w:hAnsi="Times New Roman"/>
          <w:color w:val="auto"/>
          <w:sz w:val="24"/>
          <w:szCs w:val="24"/>
        </w:rPr>
      </w:pPr>
      <w:r w:rsidRPr="00064915">
        <w:rPr>
          <w:rFonts w:ascii="Times New Roman" w:hAnsi="Times New Roman"/>
          <w:color w:val="auto"/>
          <w:sz w:val="24"/>
          <w:szCs w:val="24"/>
        </w:rPr>
        <w:t>A seguito dell’adozione dell’atto di governo del territorio, il garante promuove attività di informazione sul procedimento, al fine di consentire la presentazione delle osservazioni, ai sensi dell’articolo 19, commi 2 e 3 della l.r. 65/2014. Il rapporto del garante sarà quindi integrato in relazione alle attività svolte dopo l’adozione e allegato alla delibera di approvazione.</w:t>
      </w:r>
    </w:p>
    <w:p w:rsidR="003C75AC" w:rsidRDefault="003C75AC" w:rsidP="003C75AC">
      <w:pPr>
        <w:spacing w:after="240"/>
        <w:ind w:firstLine="709"/>
        <w:jc w:val="both"/>
        <w:rPr>
          <w:rFonts w:ascii="Times New Roman" w:hAnsi="Times New Roman"/>
          <w:color w:val="auto"/>
          <w:sz w:val="24"/>
          <w:szCs w:val="24"/>
        </w:rPr>
      </w:pPr>
      <w:r w:rsidRPr="00064915">
        <w:rPr>
          <w:rFonts w:ascii="Times New Roman" w:hAnsi="Times New Roman"/>
          <w:color w:val="auto"/>
          <w:sz w:val="24"/>
          <w:szCs w:val="24"/>
        </w:rPr>
        <w:t>Il garante regionale coordina le forme di partecipazione regolate dalle diverse leggi regionali sopra richiamate, nel rispetto del principio di non duplicazione e del divieto di aggravio procedimentale, di concerto con il responsabile del procedimento, come stabilito dall’art. 14 del D.P.G.R. n. 4/R/2017.</w:t>
      </w:r>
    </w:p>
    <w:p w:rsidR="003C75AC" w:rsidRPr="00385AB4" w:rsidRDefault="003C75AC" w:rsidP="003C75AC">
      <w:pPr>
        <w:spacing w:after="0"/>
        <w:jc w:val="center"/>
        <w:rPr>
          <w:rFonts w:ascii="Times New Roman" w:hAnsi="Times New Roman"/>
          <w:b/>
          <w:i/>
          <w:color w:val="auto"/>
          <w:sz w:val="24"/>
          <w:szCs w:val="24"/>
        </w:rPr>
      </w:pPr>
      <w:r w:rsidRPr="00385AB4">
        <w:rPr>
          <w:rFonts w:ascii="Times New Roman" w:hAnsi="Times New Roman"/>
          <w:b/>
          <w:i/>
          <w:color w:val="auto"/>
          <w:sz w:val="24"/>
          <w:szCs w:val="24"/>
        </w:rPr>
        <w:t>Il calendario degli incontri di informazione e partecipazione</w:t>
      </w:r>
    </w:p>
    <w:p w:rsidR="003C75AC" w:rsidRPr="00385AB4" w:rsidRDefault="003C75AC" w:rsidP="003C75AC">
      <w:pPr>
        <w:spacing w:after="0"/>
        <w:ind w:firstLine="709"/>
        <w:jc w:val="both"/>
        <w:rPr>
          <w:rFonts w:ascii="Times New Roman" w:hAnsi="Times New Roman"/>
          <w:color w:val="auto"/>
          <w:sz w:val="24"/>
          <w:szCs w:val="24"/>
        </w:rPr>
      </w:pPr>
      <w:r w:rsidRPr="00385AB4">
        <w:rPr>
          <w:rFonts w:ascii="Times New Roman" w:hAnsi="Times New Roman"/>
          <w:color w:val="auto"/>
          <w:sz w:val="24"/>
          <w:szCs w:val="24"/>
        </w:rPr>
        <w:t>Il programma di informazione e partecipazione del piano integrato per il parco prevede lo svolgimento di 6 incontri da effettuarsi</w:t>
      </w:r>
      <w:r>
        <w:rPr>
          <w:rFonts w:ascii="Times New Roman" w:hAnsi="Times New Roman"/>
          <w:color w:val="auto"/>
          <w:sz w:val="24"/>
          <w:szCs w:val="24"/>
        </w:rPr>
        <w:t>, presumibilmente, nella direzione del Parco della Maremma che risulta avere gli spazi e le attrezzature adeguate</w:t>
      </w:r>
      <w:r w:rsidRPr="00385AB4">
        <w:rPr>
          <w:rFonts w:ascii="Times New Roman" w:hAnsi="Times New Roman"/>
          <w:color w:val="auto"/>
          <w:sz w:val="24"/>
          <w:szCs w:val="24"/>
        </w:rPr>
        <w:t>.</w:t>
      </w:r>
    </w:p>
    <w:p w:rsidR="003C75AC" w:rsidRPr="00385AB4" w:rsidRDefault="003C75AC" w:rsidP="003C75AC">
      <w:pPr>
        <w:spacing w:after="0"/>
        <w:ind w:firstLine="709"/>
        <w:jc w:val="both"/>
        <w:rPr>
          <w:rFonts w:ascii="Times New Roman" w:hAnsi="Times New Roman"/>
          <w:color w:val="auto"/>
          <w:sz w:val="24"/>
          <w:szCs w:val="24"/>
        </w:rPr>
      </w:pPr>
      <w:r>
        <w:rPr>
          <w:rFonts w:ascii="Times New Roman" w:hAnsi="Times New Roman"/>
          <w:color w:val="auto"/>
          <w:sz w:val="24"/>
          <w:szCs w:val="24"/>
        </w:rPr>
        <w:t>Preso atto</w:t>
      </w:r>
      <w:r w:rsidRPr="00385AB4">
        <w:rPr>
          <w:rFonts w:ascii="Times New Roman" w:hAnsi="Times New Roman"/>
          <w:color w:val="auto"/>
          <w:sz w:val="24"/>
          <w:szCs w:val="24"/>
        </w:rPr>
        <w:t xml:space="preserve"> che l’avvio </w:t>
      </w:r>
      <w:r>
        <w:rPr>
          <w:rFonts w:ascii="Times New Roman" w:hAnsi="Times New Roman"/>
          <w:color w:val="auto"/>
          <w:sz w:val="24"/>
          <w:szCs w:val="24"/>
        </w:rPr>
        <w:t xml:space="preserve">del procedimento </w:t>
      </w:r>
      <w:r w:rsidRPr="00385AB4">
        <w:rPr>
          <w:rFonts w:ascii="Times New Roman" w:hAnsi="Times New Roman"/>
          <w:color w:val="auto"/>
          <w:sz w:val="24"/>
          <w:szCs w:val="24"/>
        </w:rPr>
        <w:t xml:space="preserve">del piano integrato per il parco </w:t>
      </w:r>
      <w:r>
        <w:rPr>
          <w:rFonts w:ascii="Times New Roman" w:hAnsi="Times New Roman"/>
          <w:color w:val="auto"/>
          <w:sz w:val="24"/>
          <w:szCs w:val="24"/>
        </w:rPr>
        <w:t>dovrebbe essere approvato</w:t>
      </w:r>
      <w:r w:rsidRPr="00385AB4">
        <w:rPr>
          <w:rFonts w:ascii="Times New Roman" w:hAnsi="Times New Roman"/>
          <w:color w:val="auto"/>
          <w:sz w:val="24"/>
          <w:szCs w:val="24"/>
        </w:rPr>
        <w:t xml:space="preserve"> dalla Regione Toscana </w:t>
      </w:r>
      <w:r>
        <w:rPr>
          <w:rFonts w:ascii="Times New Roman" w:hAnsi="Times New Roman"/>
          <w:color w:val="auto"/>
          <w:sz w:val="24"/>
          <w:szCs w:val="24"/>
        </w:rPr>
        <w:t>nei mesi di</w:t>
      </w:r>
      <w:r w:rsidRPr="00385AB4">
        <w:rPr>
          <w:rFonts w:ascii="Times New Roman" w:hAnsi="Times New Roman"/>
          <w:color w:val="auto"/>
          <w:sz w:val="24"/>
          <w:szCs w:val="24"/>
        </w:rPr>
        <w:t xml:space="preserve"> settembre</w:t>
      </w:r>
      <w:r>
        <w:rPr>
          <w:rFonts w:ascii="Times New Roman" w:hAnsi="Times New Roman"/>
          <w:color w:val="auto"/>
          <w:sz w:val="24"/>
          <w:szCs w:val="24"/>
        </w:rPr>
        <w:t>/</w:t>
      </w:r>
      <w:r w:rsidRPr="00385AB4">
        <w:rPr>
          <w:rFonts w:ascii="Times New Roman" w:hAnsi="Times New Roman"/>
          <w:color w:val="auto"/>
          <w:sz w:val="24"/>
          <w:szCs w:val="24"/>
        </w:rPr>
        <w:t>ottobre del 2019, si ipotizza il seguente calendario di incontri.</w:t>
      </w:r>
    </w:p>
    <w:p w:rsidR="003C75AC" w:rsidRPr="00385AB4" w:rsidRDefault="003C75AC" w:rsidP="003C75AC">
      <w:pPr>
        <w:spacing w:after="0" w:line="360" w:lineRule="auto"/>
        <w:ind w:firstLine="709"/>
        <w:jc w:val="both"/>
        <w:rPr>
          <w:rFonts w:ascii="Times New Roman" w:hAnsi="Times New Roman"/>
          <w:color w:val="auto"/>
          <w:sz w:val="24"/>
          <w:szCs w:val="24"/>
        </w:rPr>
      </w:pPr>
    </w:p>
    <w:tbl>
      <w:tblPr>
        <w:tblStyle w:val="Grigliatabella"/>
        <w:tblW w:w="8382" w:type="dxa"/>
        <w:jc w:val="center"/>
        <w:tblLook w:val="04A0" w:firstRow="1" w:lastRow="0" w:firstColumn="1" w:lastColumn="0" w:noHBand="0" w:noVBand="1"/>
      </w:tblPr>
      <w:tblGrid>
        <w:gridCol w:w="1776"/>
        <w:gridCol w:w="1854"/>
        <w:gridCol w:w="4752"/>
      </w:tblGrid>
      <w:tr w:rsidR="003C75AC" w:rsidRPr="00385AB4" w:rsidTr="003C75AC">
        <w:trPr>
          <w:jc w:val="center"/>
        </w:trPr>
        <w:tc>
          <w:tcPr>
            <w:tcW w:w="1776" w:type="dxa"/>
          </w:tcPr>
          <w:p w:rsidR="003C75AC" w:rsidRPr="00385AB4" w:rsidRDefault="003C75AC" w:rsidP="000C3BD8">
            <w:pPr>
              <w:spacing w:after="0"/>
              <w:rPr>
                <w:rFonts w:ascii="Times New Roman" w:hAnsi="Times New Roman"/>
                <w:i/>
                <w:color w:val="auto"/>
                <w:sz w:val="22"/>
                <w:szCs w:val="22"/>
              </w:rPr>
            </w:pPr>
          </w:p>
          <w:p w:rsidR="003C75AC" w:rsidRPr="00385AB4" w:rsidRDefault="003C75AC" w:rsidP="000C3BD8">
            <w:pPr>
              <w:spacing w:after="0"/>
              <w:jc w:val="center"/>
              <w:rPr>
                <w:rFonts w:ascii="Times New Roman" w:hAnsi="Times New Roman"/>
                <w:i/>
                <w:color w:val="auto"/>
                <w:sz w:val="22"/>
                <w:szCs w:val="22"/>
              </w:rPr>
            </w:pPr>
            <w:r w:rsidRPr="00385AB4">
              <w:rPr>
                <w:rFonts w:ascii="Times New Roman" w:hAnsi="Times New Roman"/>
                <w:i/>
                <w:color w:val="auto"/>
                <w:sz w:val="22"/>
                <w:szCs w:val="22"/>
              </w:rPr>
              <w:t>Primo incontro</w:t>
            </w:r>
          </w:p>
        </w:tc>
        <w:tc>
          <w:tcPr>
            <w:tcW w:w="1854" w:type="dxa"/>
          </w:tcPr>
          <w:p w:rsidR="003C75AC" w:rsidRPr="00385AB4" w:rsidRDefault="003C75AC" w:rsidP="000C3BD8">
            <w:pPr>
              <w:spacing w:after="0"/>
              <w:jc w:val="center"/>
              <w:rPr>
                <w:rFonts w:ascii="Times New Roman" w:hAnsi="Times New Roman"/>
                <w:i/>
                <w:color w:val="auto"/>
                <w:sz w:val="22"/>
                <w:szCs w:val="22"/>
              </w:rPr>
            </w:pPr>
          </w:p>
          <w:p w:rsidR="003C75AC" w:rsidRPr="00385AB4" w:rsidRDefault="003C75AC" w:rsidP="000C3BD8">
            <w:pPr>
              <w:spacing w:after="0"/>
              <w:jc w:val="center"/>
              <w:rPr>
                <w:rFonts w:ascii="Times New Roman" w:hAnsi="Times New Roman"/>
                <w:i/>
                <w:color w:val="auto"/>
                <w:sz w:val="22"/>
                <w:szCs w:val="22"/>
              </w:rPr>
            </w:pPr>
            <w:r w:rsidRPr="00385AB4">
              <w:rPr>
                <w:rFonts w:ascii="Times New Roman" w:hAnsi="Times New Roman"/>
                <w:i/>
                <w:color w:val="auto"/>
                <w:sz w:val="22"/>
                <w:szCs w:val="22"/>
              </w:rPr>
              <w:t>Ottobre/novembre 2019</w:t>
            </w:r>
          </w:p>
        </w:tc>
        <w:tc>
          <w:tcPr>
            <w:tcW w:w="4752" w:type="dxa"/>
          </w:tcPr>
          <w:p w:rsidR="003C75AC" w:rsidRPr="00385AB4" w:rsidRDefault="003C75AC" w:rsidP="000C3BD8">
            <w:pPr>
              <w:spacing w:after="0"/>
              <w:jc w:val="both"/>
              <w:rPr>
                <w:rFonts w:ascii="Times New Roman" w:hAnsi="Times New Roman"/>
                <w:i/>
                <w:color w:val="auto"/>
                <w:sz w:val="22"/>
                <w:szCs w:val="22"/>
              </w:rPr>
            </w:pPr>
            <w:r w:rsidRPr="00385AB4">
              <w:rPr>
                <w:rFonts w:ascii="Times New Roman" w:hAnsi="Times New Roman"/>
                <w:i/>
                <w:color w:val="auto"/>
                <w:sz w:val="22"/>
                <w:szCs w:val="22"/>
              </w:rPr>
              <w:t>Informazione sull’avvio del piano integrato per il parco e presentazione dei relativi documenti di avvio</w:t>
            </w:r>
            <w:r>
              <w:rPr>
                <w:rFonts w:ascii="Times New Roman" w:hAnsi="Times New Roman"/>
                <w:i/>
                <w:color w:val="auto"/>
                <w:sz w:val="22"/>
                <w:szCs w:val="22"/>
              </w:rPr>
              <w:t xml:space="preserve"> </w:t>
            </w:r>
            <w:r w:rsidRPr="00385AB4">
              <w:rPr>
                <w:rFonts w:ascii="Times New Roman" w:hAnsi="Times New Roman"/>
                <w:i/>
                <w:color w:val="auto"/>
                <w:sz w:val="22"/>
                <w:szCs w:val="22"/>
              </w:rPr>
              <w:t>(incontro indirizzato ed aperto a tutti)</w:t>
            </w:r>
          </w:p>
        </w:tc>
      </w:tr>
      <w:tr w:rsidR="003C75AC" w:rsidRPr="00816FD8" w:rsidTr="003C75AC">
        <w:trPr>
          <w:trHeight w:val="283"/>
          <w:jc w:val="center"/>
        </w:trPr>
        <w:tc>
          <w:tcPr>
            <w:tcW w:w="1776" w:type="dxa"/>
          </w:tcPr>
          <w:p w:rsidR="003C75AC" w:rsidRPr="00385AB4" w:rsidRDefault="003C75AC" w:rsidP="000C3BD8">
            <w:pPr>
              <w:spacing w:after="0" w:line="360" w:lineRule="auto"/>
              <w:jc w:val="both"/>
              <w:rPr>
                <w:rFonts w:ascii="Times New Roman" w:hAnsi="Times New Roman"/>
                <w:color w:val="auto"/>
                <w:sz w:val="24"/>
                <w:szCs w:val="24"/>
              </w:rPr>
            </w:pPr>
          </w:p>
        </w:tc>
        <w:tc>
          <w:tcPr>
            <w:tcW w:w="1854" w:type="dxa"/>
          </w:tcPr>
          <w:p w:rsidR="003C75AC" w:rsidRDefault="003C75AC" w:rsidP="000C3BD8">
            <w:pPr>
              <w:spacing w:after="0"/>
              <w:jc w:val="both"/>
              <w:rPr>
                <w:rFonts w:ascii="Times New Roman" w:hAnsi="Times New Roman"/>
                <w:i/>
                <w:color w:val="auto"/>
                <w:sz w:val="22"/>
                <w:szCs w:val="22"/>
              </w:rPr>
            </w:pPr>
            <w:r>
              <w:rPr>
                <w:rFonts w:ascii="Times New Roman" w:hAnsi="Times New Roman"/>
                <w:i/>
                <w:color w:val="auto"/>
                <w:sz w:val="22"/>
                <w:szCs w:val="22"/>
              </w:rPr>
              <w:t xml:space="preserve">Dicembre </w:t>
            </w:r>
            <w:r w:rsidRPr="00AF4D09">
              <w:rPr>
                <w:rFonts w:ascii="Times New Roman" w:hAnsi="Times New Roman"/>
                <w:i/>
                <w:color w:val="auto"/>
                <w:sz w:val="22"/>
                <w:szCs w:val="22"/>
              </w:rPr>
              <w:t>2019</w:t>
            </w:r>
            <w:r>
              <w:rPr>
                <w:rFonts w:ascii="Times New Roman" w:hAnsi="Times New Roman"/>
                <w:i/>
                <w:color w:val="auto"/>
                <w:sz w:val="22"/>
                <w:szCs w:val="22"/>
              </w:rPr>
              <w:t xml:space="preserve"> o</w:t>
            </w:r>
          </w:p>
          <w:p w:rsidR="003C75AC" w:rsidRPr="00AF4D09" w:rsidRDefault="003C75AC" w:rsidP="000C3BD8">
            <w:pPr>
              <w:spacing w:after="0"/>
              <w:jc w:val="both"/>
              <w:rPr>
                <w:rFonts w:ascii="Times New Roman" w:hAnsi="Times New Roman"/>
                <w:i/>
                <w:color w:val="auto"/>
                <w:sz w:val="22"/>
                <w:szCs w:val="22"/>
              </w:rPr>
            </w:pPr>
            <w:r>
              <w:rPr>
                <w:rFonts w:ascii="Times New Roman" w:hAnsi="Times New Roman"/>
                <w:i/>
                <w:color w:val="auto"/>
                <w:sz w:val="22"/>
                <w:szCs w:val="22"/>
              </w:rPr>
              <w:t>Gennaio</w:t>
            </w:r>
            <w:r w:rsidRPr="00AF4D09">
              <w:rPr>
                <w:rFonts w:ascii="Times New Roman" w:hAnsi="Times New Roman"/>
                <w:i/>
                <w:color w:val="auto"/>
                <w:sz w:val="22"/>
                <w:szCs w:val="22"/>
              </w:rPr>
              <w:t xml:space="preserve"> 2020</w:t>
            </w:r>
          </w:p>
        </w:tc>
        <w:tc>
          <w:tcPr>
            <w:tcW w:w="4752" w:type="dxa"/>
          </w:tcPr>
          <w:p w:rsidR="003C75AC" w:rsidRPr="00AF4D09" w:rsidRDefault="003C75AC" w:rsidP="000C3BD8">
            <w:pPr>
              <w:spacing w:after="0" w:line="360" w:lineRule="auto"/>
              <w:jc w:val="both"/>
              <w:rPr>
                <w:rFonts w:ascii="Times New Roman" w:hAnsi="Times New Roman"/>
                <w:i/>
                <w:color w:val="auto"/>
                <w:sz w:val="22"/>
                <w:szCs w:val="22"/>
              </w:rPr>
            </w:pPr>
            <w:r w:rsidRPr="00AF4D09">
              <w:rPr>
                <w:rFonts w:ascii="Times New Roman" w:hAnsi="Times New Roman"/>
                <w:i/>
                <w:color w:val="auto"/>
                <w:sz w:val="22"/>
                <w:szCs w:val="22"/>
              </w:rPr>
              <w:t>Attivazione della partecipazione digitale</w:t>
            </w:r>
          </w:p>
        </w:tc>
      </w:tr>
      <w:tr w:rsidR="003C75AC" w:rsidRPr="00AF4D09" w:rsidTr="003C75AC">
        <w:trPr>
          <w:jc w:val="center"/>
        </w:trPr>
        <w:tc>
          <w:tcPr>
            <w:tcW w:w="1776" w:type="dxa"/>
          </w:tcPr>
          <w:p w:rsidR="003C75AC" w:rsidRDefault="003C75AC" w:rsidP="000C3BD8">
            <w:pPr>
              <w:spacing w:after="0"/>
              <w:jc w:val="both"/>
              <w:rPr>
                <w:rFonts w:ascii="Times New Roman" w:hAnsi="Times New Roman"/>
                <w:i/>
                <w:color w:val="auto"/>
                <w:sz w:val="22"/>
                <w:szCs w:val="22"/>
              </w:rPr>
            </w:pPr>
          </w:p>
          <w:p w:rsidR="003C75AC" w:rsidRPr="00AF4D09" w:rsidRDefault="003C75AC" w:rsidP="000C3BD8">
            <w:pPr>
              <w:spacing w:after="0"/>
              <w:jc w:val="both"/>
              <w:rPr>
                <w:rFonts w:ascii="Times New Roman" w:hAnsi="Times New Roman"/>
                <w:i/>
                <w:color w:val="auto"/>
                <w:sz w:val="22"/>
                <w:szCs w:val="22"/>
              </w:rPr>
            </w:pPr>
            <w:r w:rsidRPr="00AF4D09">
              <w:rPr>
                <w:rFonts w:ascii="Times New Roman" w:hAnsi="Times New Roman"/>
                <w:i/>
                <w:color w:val="auto"/>
                <w:sz w:val="22"/>
                <w:szCs w:val="22"/>
              </w:rPr>
              <w:t>Secondo incontro</w:t>
            </w:r>
          </w:p>
        </w:tc>
        <w:tc>
          <w:tcPr>
            <w:tcW w:w="1854" w:type="dxa"/>
          </w:tcPr>
          <w:p w:rsidR="003C75AC" w:rsidRDefault="003C75AC" w:rsidP="000C3BD8">
            <w:pPr>
              <w:spacing w:after="0"/>
              <w:jc w:val="center"/>
              <w:rPr>
                <w:rFonts w:ascii="Times New Roman" w:hAnsi="Times New Roman"/>
                <w:i/>
                <w:color w:val="auto"/>
                <w:sz w:val="22"/>
                <w:szCs w:val="22"/>
              </w:rPr>
            </w:pPr>
          </w:p>
          <w:p w:rsidR="003C75AC" w:rsidRPr="00AF4D09" w:rsidRDefault="003C75AC" w:rsidP="000C3BD8">
            <w:pPr>
              <w:spacing w:after="0"/>
              <w:jc w:val="center"/>
              <w:rPr>
                <w:rFonts w:ascii="Times New Roman" w:hAnsi="Times New Roman"/>
                <w:i/>
                <w:color w:val="auto"/>
                <w:sz w:val="22"/>
                <w:szCs w:val="22"/>
              </w:rPr>
            </w:pPr>
            <w:r>
              <w:rPr>
                <w:rFonts w:ascii="Times New Roman" w:hAnsi="Times New Roman"/>
                <w:i/>
                <w:color w:val="auto"/>
                <w:sz w:val="22"/>
                <w:szCs w:val="22"/>
              </w:rPr>
              <w:t xml:space="preserve">Maggio </w:t>
            </w:r>
            <w:r w:rsidRPr="00AF4D09">
              <w:rPr>
                <w:rFonts w:ascii="Times New Roman" w:hAnsi="Times New Roman"/>
                <w:i/>
                <w:color w:val="auto"/>
                <w:sz w:val="22"/>
                <w:szCs w:val="22"/>
              </w:rPr>
              <w:t>2020</w:t>
            </w:r>
          </w:p>
          <w:p w:rsidR="003C75AC" w:rsidRPr="00AF4D09" w:rsidRDefault="003C75AC" w:rsidP="000C3BD8">
            <w:pPr>
              <w:spacing w:after="0"/>
              <w:jc w:val="both"/>
              <w:rPr>
                <w:rFonts w:ascii="Times New Roman" w:hAnsi="Times New Roman"/>
                <w:i/>
                <w:color w:val="auto"/>
                <w:sz w:val="22"/>
                <w:szCs w:val="22"/>
              </w:rPr>
            </w:pPr>
          </w:p>
        </w:tc>
        <w:tc>
          <w:tcPr>
            <w:tcW w:w="4752" w:type="dxa"/>
          </w:tcPr>
          <w:p w:rsidR="003C75AC" w:rsidRPr="00AF4D09" w:rsidRDefault="003C75AC" w:rsidP="000C3BD8">
            <w:pPr>
              <w:spacing w:after="0"/>
              <w:jc w:val="both"/>
              <w:rPr>
                <w:rFonts w:ascii="Times New Roman" w:hAnsi="Times New Roman"/>
                <w:i/>
                <w:color w:val="auto"/>
                <w:sz w:val="22"/>
                <w:szCs w:val="22"/>
              </w:rPr>
            </w:pPr>
            <w:r w:rsidRPr="00AF4D09">
              <w:rPr>
                <w:rFonts w:ascii="Times New Roman" w:hAnsi="Times New Roman"/>
                <w:i/>
                <w:color w:val="auto"/>
                <w:sz w:val="22"/>
                <w:szCs w:val="22"/>
              </w:rPr>
              <w:t>Acquisizione di contributi da parte dei portatori di interessi ambientali</w:t>
            </w:r>
            <w:r>
              <w:rPr>
                <w:rFonts w:ascii="Times New Roman" w:hAnsi="Times New Roman"/>
                <w:i/>
                <w:color w:val="auto"/>
                <w:sz w:val="22"/>
                <w:szCs w:val="22"/>
              </w:rPr>
              <w:t xml:space="preserve"> e ordini professionali</w:t>
            </w:r>
          </w:p>
        </w:tc>
      </w:tr>
      <w:tr w:rsidR="003C75AC" w:rsidRPr="00816FD8" w:rsidTr="003C75AC">
        <w:trPr>
          <w:jc w:val="center"/>
        </w:trPr>
        <w:tc>
          <w:tcPr>
            <w:tcW w:w="1776" w:type="dxa"/>
          </w:tcPr>
          <w:p w:rsidR="003C75AC" w:rsidRDefault="003C75AC" w:rsidP="000C3BD8">
            <w:pPr>
              <w:spacing w:after="0"/>
              <w:jc w:val="both"/>
              <w:rPr>
                <w:rFonts w:ascii="Times New Roman" w:hAnsi="Times New Roman"/>
                <w:i/>
                <w:color w:val="auto"/>
                <w:sz w:val="22"/>
                <w:szCs w:val="22"/>
              </w:rPr>
            </w:pPr>
          </w:p>
          <w:p w:rsidR="003C75AC" w:rsidRPr="00816FD8" w:rsidRDefault="003C75AC" w:rsidP="000C3BD8">
            <w:pPr>
              <w:spacing w:after="0"/>
              <w:jc w:val="center"/>
              <w:rPr>
                <w:rFonts w:ascii="Times New Roman" w:hAnsi="Times New Roman"/>
                <w:i/>
                <w:color w:val="auto"/>
                <w:sz w:val="22"/>
                <w:szCs w:val="22"/>
              </w:rPr>
            </w:pPr>
            <w:r>
              <w:rPr>
                <w:rFonts w:ascii="Times New Roman" w:hAnsi="Times New Roman"/>
                <w:i/>
                <w:color w:val="auto"/>
                <w:sz w:val="22"/>
                <w:szCs w:val="22"/>
              </w:rPr>
              <w:t>Terzo</w:t>
            </w:r>
            <w:r w:rsidRPr="00AF4D09">
              <w:rPr>
                <w:rFonts w:ascii="Times New Roman" w:hAnsi="Times New Roman"/>
                <w:i/>
                <w:color w:val="auto"/>
                <w:sz w:val="22"/>
                <w:szCs w:val="22"/>
              </w:rPr>
              <w:t xml:space="preserve"> incontro</w:t>
            </w:r>
          </w:p>
        </w:tc>
        <w:tc>
          <w:tcPr>
            <w:tcW w:w="1854" w:type="dxa"/>
          </w:tcPr>
          <w:p w:rsidR="003C75AC" w:rsidRDefault="003C75AC" w:rsidP="000C3BD8">
            <w:pPr>
              <w:spacing w:after="0"/>
              <w:jc w:val="center"/>
              <w:rPr>
                <w:rFonts w:ascii="Times New Roman" w:hAnsi="Times New Roman"/>
                <w:i/>
                <w:color w:val="auto"/>
                <w:sz w:val="22"/>
                <w:szCs w:val="22"/>
              </w:rPr>
            </w:pPr>
          </w:p>
          <w:p w:rsidR="003C75AC" w:rsidRPr="00AF4D09" w:rsidRDefault="003C75AC" w:rsidP="000C3BD8">
            <w:pPr>
              <w:spacing w:after="0"/>
              <w:jc w:val="center"/>
              <w:rPr>
                <w:rFonts w:ascii="Times New Roman" w:hAnsi="Times New Roman"/>
                <w:i/>
                <w:color w:val="auto"/>
                <w:sz w:val="22"/>
                <w:szCs w:val="22"/>
              </w:rPr>
            </w:pPr>
            <w:r>
              <w:rPr>
                <w:rFonts w:ascii="Times New Roman" w:hAnsi="Times New Roman"/>
                <w:i/>
                <w:color w:val="auto"/>
                <w:sz w:val="22"/>
                <w:szCs w:val="22"/>
              </w:rPr>
              <w:t xml:space="preserve">Ottobre </w:t>
            </w:r>
            <w:r w:rsidRPr="00AF4D09">
              <w:rPr>
                <w:rFonts w:ascii="Times New Roman" w:hAnsi="Times New Roman"/>
                <w:i/>
                <w:color w:val="auto"/>
                <w:sz w:val="22"/>
                <w:szCs w:val="22"/>
              </w:rPr>
              <w:t>2020</w:t>
            </w:r>
          </w:p>
          <w:p w:rsidR="003C75AC" w:rsidRPr="00816FD8" w:rsidRDefault="003C75AC" w:rsidP="000C3BD8">
            <w:pPr>
              <w:spacing w:after="0"/>
              <w:jc w:val="both"/>
              <w:rPr>
                <w:rFonts w:ascii="Times New Roman" w:hAnsi="Times New Roman"/>
                <w:i/>
                <w:color w:val="auto"/>
                <w:sz w:val="22"/>
                <w:szCs w:val="22"/>
              </w:rPr>
            </w:pPr>
          </w:p>
        </w:tc>
        <w:tc>
          <w:tcPr>
            <w:tcW w:w="4752" w:type="dxa"/>
          </w:tcPr>
          <w:p w:rsidR="003C75AC" w:rsidRPr="00816FD8" w:rsidRDefault="003C75AC" w:rsidP="000C3BD8">
            <w:pPr>
              <w:spacing w:after="0"/>
              <w:jc w:val="both"/>
              <w:rPr>
                <w:rFonts w:ascii="Times New Roman" w:hAnsi="Times New Roman"/>
                <w:i/>
                <w:color w:val="auto"/>
                <w:sz w:val="22"/>
                <w:szCs w:val="22"/>
              </w:rPr>
            </w:pPr>
            <w:r w:rsidRPr="00AF4D09">
              <w:rPr>
                <w:rFonts w:ascii="Times New Roman" w:hAnsi="Times New Roman"/>
                <w:i/>
                <w:color w:val="auto"/>
                <w:sz w:val="22"/>
                <w:szCs w:val="22"/>
              </w:rPr>
              <w:t xml:space="preserve">Acquisizione di contributi da parte dei portatori di interessi </w:t>
            </w:r>
            <w:r>
              <w:rPr>
                <w:rFonts w:ascii="Times New Roman" w:hAnsi="Times New Roman"/>
                <w:i/>
                <w:color w:val="auto"/>
                <w:sz w:val="22"/>
                <w:szCs w:val="22"/>
              </w:rPr>
              <w:t>di interessi economici e organizzazioni sindacali</w:t>
            </w:r>
          </w:p>
        </w:tc>
      </w:tr>
      <w:tr w:rsidR="003C75AC" w:rsidRPr="00816FD8" w:rsidTr="003C75AC">
        <w:trPr>
          <w:jc w:val="center"/>
        </w:trPr>
        <w:tc>
          <w:tcPr>
            <w:tcW w:w="1776" w:type="dxa"/>
          </w:tcPr>
          <w:p w:rsidR="003C75AC" w:rsidRDefault="003C75AC" w:rsidP="000C3BD8">
            <w:pPr>
              <w:spacing w:after="0"/>
              <w:jc w:val="both"/>
              <w:rPr>
                <w:rFonts w:ascii="Times New Roman" w:hAnsi="Times New Roman"/>
                <w:i/>
                <w:color w:val="auto"/>
                <w:sz w:val="22"/>
                <w:szCs w:val="22"/>
              </w:rPr>
            </w:pPr>
          </w:p>
          <w:p w:rsidR="003C75AC" w:rsidRPr="00816FD8" w:rsidRDefault="003C75AC" w:rsidP="000C3BD8">
            <w:pPr>
              <w:spacing w:after="0"/>
              <w:jc w:val="center"/>
              <w:rPr>
                <w:rFonts w:ascii="Times New Roman" w:hAnsi="Times New Roman"/>
                <w:i/>
                <w:color w:val="auto"/>
                <w:sz w:val="22"/>
                <w:szCs w:val="22"/>
              </w:rPr>
            </w:pPr>
            <w:r>
              <w:rPr>
                <w:rFonts w:ascii="Times New Roman" w:hAnsi="Times New Roman"/>
                <w:i/>
                <w:color w:val="auto"/>
                <w:sz w:val="22"/>
                <w:szCs w:val="22"/>
              </w:rPr>
              <w:t>Quarto</w:t>
            </w:r>
            <w:r w:rsidRPr="00AF4D09">
              <w:rPr>
                <w:rFonts w:ascii="Times New Roman" w:hAnsi="Times New Roman"/>
                <w:i/>
                <w:color w:val="auto"/>
                <w:sz w:val="22"/>
                <w:szCs w:val="22"/>
              </w:rPr>
              <w:t xml:space="preserve"> incontro</w:t>
            </w:r>
          </w:p>
        </w:tc>
        <w:tc>
          <w:tcPr>
            <w:tcW w:w="1854" w:type="dxa"/>
          </w:tcPr>
          <w:p w:rsidR="003C75AC" w:rsidRDefault="003C75AC" w:rsidP="000C3BD8">
            <w:pPr>
              <w:spacing w:after="0"/>
              <w:jc w:val="center"/>
              <w:rPr>
                <w:rFonts w:ascii="Times New Roman" w:hAnsi="Times New Roman"/>
                <w:i/>
                <w:color w:val="auto"/>
                <w:sz w:val="22"/>
                <w:szCs w:val="22"/>
              </w:rPr>
            </w:pPr>
          </w:p>
          <w:p w:rsidR="003C75AC" w:rsidRPr="00AF4D09" w:rsidRDefault="003C75AC" w:rsidP="000C3BD8">
            <w:pPr>
              <w:spacing w:after="0"/>
              <w:jc w:val="center"/>
              <w:rPr>
                <w:rFonts w:ascii="Times New Roman" w:hAnsi="Times New Roman"/>
                <w:i/>
                <w:color w:val="auto"/>
                <w:sz w:val="22"/>
                <w:szCs w:val="22"/>
              </w:rPr>
            </w:pPr>
            <w:r>
              <w:rPr>
                <w:rFonts w:ascii="Times New Roman" w:hAnsi="Times New Roman"/>
                <w:i/>
                <w:color w:val="auto"/>
                <w:sz w:val="22"/>
                <w:szCs w:val="22"/>
              </w:rPr>
              <w:t xml:space="preserve">Novembre </w:t>
            </w:r>
            <w:r w:rsidRPr="00AF4D09">
              <w:rPr>
                <w:rFonts w:ascii="Times New Roman" w:hAnsi="Times New Roman"/>
                <w:i/>
                <w:color w:val="auto"/>
                <w:sz w:val="22"/>
                <w:szCs w:val="22"/>
              </w:rPr>
              <w:t>2020</w:t>
            </w:r>
          </w:p>
          <w:p w:rsidR="003C75AC" w:rsidRPr="00816FD8" w:rsidRDefault="003C75AC" w:rsidP="000C3BD8">
            <w:pPr>
              <w:spacing w:after="0"/>
              <w:jc w:val="both"/>
              <w:rPr>
                <w:rFonts w:ascii="Times New Roman" w:hAnsi="Times New Roman"/>
                <w:i/>
                <w:color w:val="auto"/>
                <w:sz w:val="22"/>
                <w:szCs w:val="22"/>
              </w:rPr>
            </w:pPr>
          </w:p>
        </w:tc>
        <w:tc>
          <w:tcPr>
            <w:tcW w:w="4752" w:type="dxa"/>
          </w:tcPr>
          <w:p w:rsidR="003C75AC" w:rsidRPr="00816FD8" w:rsidRDefault="003C75AC" w:rsidP="000C3BD8">
            <w:pPr>
              <w:spacing w:after="0"/>
              <w:jc w:val="both"/>
              <w:rPr>
                <w:rFonts w:ascii="Times New Roman" w:hAnsi="Times New Roman"/>
                <w:i/>
                <w:color w:val="auto"/>
                <w:sz w:val="22"/>
                <w:szCs w:val="22"/>
              </w:rPr>
            </w:pPr>
            <w:r w:rsidRPr="00AF4D09">
              <w:rPr>
                <w:rFonts w:ascii="Times New Roman" w:hAnsi="Times New Roman"/>
                <w:i/>
                <w:color w:val="auto"/>
                <w:sz w:val="22"/>
                <w:szCs w:val="22"/>
              </w:rPr>
              <w:t xml:space="preserve">Acquisizione di contributi da parte </w:t>
            </w:r>
            <w:r>
              <w:rPr>
                <w:rFonts w:ascii="Times New Roman" w:hAnsi="Times New Roman"/>
                <w:i/>
                <w:color w:val="auto"/>
                <w:sz w:val="22"/>
                <w:szCs w:val="22"/>
              </w:rPr>
              <w:t>degli Enti Locali e dei cittadini</w:t>
            </w:r>
          </w:p>
        </w:tc>
      </w:tr>
    </w:tbl>
    <w:p w:rsidR="003C75AC" w:rsidRDefault="003C75AC">
      <w:pPr>
        <w:rPr>
          <w:rFonts w:ascii="Times New Roman" w:hAnsi="Times New Roman"/>
          <w:smallCaps/>
          <w:color w:val="auto"/>
          <w:sz w:val="24"/>
          <w:szCs w:val="24"/>
        </w:rPr>
      </w:pPr>
    </w:p>
    <w:p w:rsidR="00810136" w:rsidRPr="003C75AC" w:rsidRDefault="003C75AC" w:rsidP="003C75AC">
      <w:pPr>
        <w:jc w:val="both"/>
      </w:pPr>
      <w:r w:rsidRPr="003C75AC">
        <w:rPr>
          <w:rFonts w:ascii="Times New Roman" w:hAnsi="Times New Roman"/>
          <w:color w:val="auto"/>
          <w:sz w:val="24"/>
          <w:szCs w:val="24"/>
        </w:rPr>
        <w:t xml:space="preserve">I successi incontri saranno definiti </w:t>
      </w:r>
      <w:r w:rsidR="00DE42AF">
        <w:rPr>
          <w:rFonts w:ascii="Times New Roman" w:hAnsi="Times New Roman"/>
          <w:color w:val="auto"/>
          <w:sz w:val="24"/>
          <w:szCs w:val="24"/>
        </w:rPr>
        <w:t>nel 2021 prima del</w:t>
      </w:r>
      <w:r w:rsidRPr="003C75AC">
        <w:rPr>
          <w:rFonts w:ascii="Times New Roman" w:hAnsi="Times New Roman"/>
          <w:color w:val="auto"/>
          <w:sz w:val="24"/>
          <w:szCs w:val="24"/>
        </w:rPr>
        <w:t xml:space="preserve"> completamento d</w:t>
      </w:r>
      <w:r w:rsidR="00DE42AF">
        <w:rPr>
          <w:rFonts w:ascii="Times New Roman" w:hAnsi="Times New Roman"/>
          <w:color w:val="auto"/>
          <w:sz w:val="24"/>
          <w:szCs w:val="24"/>
        </w:rPr>
        <w:t>ella</w:t>
      </w:r>
      <w:r w:rsidRPr="003C75AC">
        <w:rPr>
          <w:rFonts w:ascii="Times New Roman" w:hAnsi="Times New Roman"/>
          <w:color w:val="auto"/>
          <w:sz w:val="24"/>
          <w:szCs w:val="24"/>
        </w:rPr>
        <w:t xml:space="preserve"> </w:t>
      </w:r>
      <w:r w:rsidR="00DE42AF">
        <w:rPr>
          <w:rFonts w:ascii="Times New Roman" w:hAnsi="Times New Roman"/>
          <w:color w:val="auto"/>
          <w:sz w:val="24"/>
          <w:szCs w:val="24"/>
        </w:rPr>
        <w:t xml:space="preserve">predisposizione della documentazione per </w:t>
      </w:r>
      <w:r w:rsidR="00DE42AF" w:rsidRPr="003C75AC">
        <w:rPr>
          <w:rFonts w:ascii="Times New Roman" w:hAnsi="Times New Roman"/>
          <w:color w:val="auto"/>
          <w:sz w:val="24"/>
          <w:szCs w:val="24"/>
        </w:rPr>
        <w:t>l’iter</w:t>
      </w:r>
      <w:r w:rsidR="00DE42AF" w:rsidRPr="003C75AC">
        <w:rPr>
          <w:rFonts w:ascii="Times New Roman" w:hAnsi="Times New Roman"/>
          <w:color w:val="auto"/>
          <w:sz w:val="24"/>
          <w:szCs w:val="24"/>
        </w:rPr>
        <w:t xml:space="preserve"> </w:t>
      </w:r>
      <w:r w:rsidR="00DE42AF">
        <w:rPr>
          <w:rFonts w:ascii="Times New Roman" w:hAnsi="Times New Roman"/>
          <w:color w:val="auto"/>
          <w:sz w:val="24"/>
          <w:szCs w:val="24"/>
        </w:rPr>
        <w:t xml:space="preserve">di </w:t>
      </w:r>
      <w:r w:rsidRPr="003C75AC">
        <w:rPr>
          <w:rFonts w:ascii="Times New Roman" w:hAnsi="Times New Roman"/>
          <w:color w:val="auto"/>
          <w:sz w:val="24"/>
          <w:szCs w:val="24"/>
        </w:rPr>
        <w:t>adozione</w:t>
      </w:r>
      <w:r w:rsidR="00DE42AF">
        <w:rPr>
          <w:rFonts w:ascii="Times New Roman" w:hAnsi="Times New Roman"/>
          <w:color w:val="auto"/>
          <w:sz w:val="24"/>
          <w:szCs w:val="24"/>
        </w:rPr>
        <w:t xml:space="preserve"> da parte del</w:t>
      </w:r>
      <w:r w:rsidRPr="003C75AC">
        <w:rPr>
          <w:rFonts w:ascii="Times New Roman" w:hAnsi="Times New Roman"/>
          <w:color w:val="auto"/>
          <w:sz w:val="24"/>
          <w:szCs w:val="24"/>
        </w:rPr>
        <w:t xml:space="preserve"> Consiglio Regionale.</w:t>
      </w:r>
      <w:bookmarkStart w:id="0" w:name="_GoBack"/>
      <w:bookmarkEnd w:id="0"/>
    </w:p>
    <w:sectPr w:rsidR="00810136" w:rsidRPr="003C75AC" w:rsidSect="003C75AC">
      <w:headerReference w:type="default" r:id="rId6"/>
      <w:pgSz w:w="11906" w:h="16838" w:code="9"/>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AC" w:rsidRDefault="003C75AC" w:rsidP="003C75AC">
      <w:pPr>
        <w:spacing w:after="0" w:line="240" w:lineRule="auto"/>
      </w:pPr>
      <w:r>
        <w:separator/>
      </w:r>
    </w:p>
  </w:endnote>
  <w:endnote w:type="continuationSeparator" w:id="0">
    <w:p w:rsidR="003C75AC" w:rsidRDefault="003C75AC" w:rsidP="003C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AC" w:rsidRDefault="003C75AC" w:rsidP="003C75AC">
      <w:pPr>
        <w:spacing w:after="0" w:line="240" w:lineRule="auto"/>
      </w:pPr>
      <w:r>
        <w:separator/>
      </w:r>
    </w:p>
  </w:footnote>
  <w:footnote w:type="continuationSeparator" w:id="0">
    <w:p w:rsidR="003C75AC" w:rsidRDefault="003C75AC" w:rsidP="003C7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AC" w:rsidRDefault="003C75AC">
    <w:pPr>
      <w:pStyle w:val="Intestazione"/>
    </w:pPr>
    <w:r w:rsidRPr="00C93F76">
      <w:rPr>
        <w:rFonts w:ascii="Times New Roman" w:hAnsi="Times New Roman"/>
        <w:noProof/>
        <w:color w:val="auto"/>
        <w:lang w:eastAsia="it-IT"/>
      </w:rPr>
      <w:drawing>
        <wp:anchor distT="0" distB="0" distL="114300" distR="114300" simplePos="0" relativeHeight="251659264" behindDoc="1" locked="0" layoutInCell="1" allowOverlap="1" wp14:anchorId="6B2DAAD4" wp14:editId="51FF7336">
          <wp:simplePos x="0" y="0"/>
          <wp:positionH relativeFrom="column">
            <wp:posOffset>-402590</wp:posOffset>
          </wp:positionH>
          <wp:positionV relativeFrom="paragraph">
            <wp:posOffset>-296076</wp:posOffset>
          </wp:positionV>
          <wp:extent cx="2059305" cy="890270"/>
          <wp:effectExtent l="0" t="0" r="0" b="5080"/>
          <wp:wrapThrough wrapText="bothSides">
            <wp:wrapPolygon edited="0">
              <wp:start x="0" y="0"/>
              <wp:lineTo x="0" y="21261"/>
              <wp:lineTo x="21380" y="21261"/>
              <wp:lineTo x="21380" y="0"/>
              <wp:lineTo x="0" y="0"/>
            </wp:wrapPolygon>
          </wp:wrapThrough>
          <wp:docPr id="15" name="Immagine 1" descr="logo-ente-p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ente-p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89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AC"/>
    <w:rsid w:val="003C75AC"/>
    <w:rsid w:val="00810136"/>
    <w:rsid w:val="00DE4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BCA4-8BD4-43A9-A1DC-E3654C05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5AC"/>
    <w:pPr>
      <w:spacing w:after="200" w:line="276" w:lineRule="auto"/>
    </w:pPr>
    <w:rPr>
      <w:rFonts w:ascii="Constantia" w:eastAsia="Times New Roman" w:hAnsi="Constantia" w:cs="Times New Roman"/>
      <w:color w:val="03485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C75AC"/>
    <w:pPr>
      <w:spacing w:after="0" w:line="240" w:lineRule="auto"/>
    </w:pPr>
    <w:rPr>
      <w:rFonts w:ascii="Constantia" w:eastAsia="Times New Roman" w:hAnsi="Constantia"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3C75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75AC"/>
    <w:rPr>
      <w:rFonts w:ascii="Constantia" w:eastAsia="Times New Roman" w:hAnsi="Constantia" w:cs="Times New Roman"/>
      <w:color w:val="03485B"/>
      <w:sz w:val="20"/>
      <w:szCs w:val="20"/>
    </w:rPr>
  </w:style>
  <w:style w:type="paragraph" w:styleId="Pidipagina">
    <w:name w:val="footer"/>
    <w:basedOn w:val="Normale"/>
    <w:link w:val="PidipaginaCarattere"/>
    <w:uiPriority w:val="99"/>
    <w:unhideWhenUsed/>
    <w:rsid w:val="003C75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75AC"/>
    <w:rPr>
      <w:rFonts w:ascii="Constantia" w:eastAsia="Times New Roman" w:hAnsi="Constantia" w:cs="Times New Roman"/>
      <w:color w:val="03485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5657</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Giunta</dc:creator>
  <cp:keywords/>
  <dc:description/>
  <cp:lastModifiedBy>Enrico Giunta</cp:lastModifiedBy>
  <cp:revision>2</cp:revision>
  <dcterms:created xsi:type="dcterms:W3CDTF">2020-02-11T08:29:00Z</dcterms:created>
  <dcterms:modified xsi:type="dcterms:W3CDTF">2020-02-11T08:29:00Z</dcterms:modified>
</cp:coreProperties>
</file>